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PLATE led 26 m Decken-/Wandanbau EB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als universelle Montage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kann sowohl an der Wand als auch an der Decke montiert werden.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Piktogramm dieser Leuchte 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llt die vorgeschriebene Leuchtdichte, Kontrast und Gleichm</w:t>
      </w:r>
      <w:r>
        <w:rPr>
          <w:rFonts w:ascii="Arial" w:hAnsi="Arial" w:hint="default"/>
          <w:sz w:val="20"/>
          <w:szCs w:val="20"/>
          <w:rtl w:val="0"/>
          <w:lang w:val="de-DE"/>
        </w:rPr>
        <w:t>äß</w:t>
      </w:r>
      <w:r>
        <w:rPr>
          <w:rFonts w:ascii="Arial" w:hAnsi="Arial"/>
          <w:sz w:val="20"/>
          <w:szCs w:val="20"/>
          <w:rtl w:val="0"/>
          <w:lang w:val="de-DE"/>
        </w:rPr>
        <w:t>igkeit nach DIN 4844 und DIN EN 1838 im Netzbetrieb. Die mittlere Leuchtdichte der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n/wei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Piktogrammfl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che muss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500 </w:t>
      </w:r>
      <w:r>
        <w:rPr>
          <w:rFonts w:ascii="Arial" w:hAnsi="Arial"/>
          <w:sz w:val="20"/>
          <w:szCs w:val="20"/>
          <w:rtl w:val="0"/>
          <w:lang w:val="de-DE"/>
        </w:rPr>
        <w:t>cd/qm in heller Umgebung betragen. Die Leuchte ist in heller wie dunkler Umgebung bei Erhaltung der vollen Erkennungsweite uneingeschr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nkt verwendbar.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Leuchtmittel muss LED sein, einen Wirkungsgrad von mindestens 150 lm/W haben und nach 5 Jahren noch mindestens 70 % seines Anfangslichtstromes haben. 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schonenden Betrieb der LED und damit eine extrem lange Leuchtmittel-Lebensdauer.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Auf die Leuchte muss eine Garantie von 5 Jahren gegeben sein, die 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use, die Elektronik, das Leuchtmittel LED und die Leuchtdichte einschlie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t.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Ein Leuchtdichtemessprotokoll ist auf Wunsch ohne Extrakosten zur Projektdokumentation mitzuliefern.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Decken-/Wandanbaumontage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26 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217 x 269 x 41 mm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Einzelbatterie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5,3 VA / 3,4 W (Dauerschaltung)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 xml:space="preserve"> 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+5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800 g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44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3 h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Normal.0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943.01.22612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Normal.0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Normal.0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